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7 -->
  <w:body>
    <w:p>
      <w:pPr>
        <w:pStyle w:val="Heading1"/>
        <w:keepNext w:val="0"/>
        <w:spacing w:before="0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一、公司基本情况介绍</w:t>
      </w:r>
    </w:p>
    <w:p>
      <w:pPr>
        <w:pStyle w:val="any"/>
        <w:spacing w:before="240" w:after="240"/>
      </w:pPr>
      <w:r>
        <w:rPr>
          <w:rStyle w:val="anyCharacter"/>
        </w:rPr>
        <w:t>中熔电气</w:t>
      </w:r>
      <w:r>
        <w:t>主营电路保护产品，以熔断器为核心，横向拓展继电器、传感器等产品线，目标提供集成化服务。下游行业中，新能源汽车为主要收入来源，2025年占比65%，风光储占23%，通信及其他占10%，</w:t>
      </w:r>
      <w:r>
        <w:rPr>
          <w:rStyle w:val="anyCharacter"/>
        </w:rPr>
        <w:t>数据中心</w:t>
      </w:r>
      <w:r>
        <w:t>为重点发展方向。核心客户包括</w:t>
      </w:r>
      <w:r>
        <w:rPr>
          <w:rStyle w:val="anyCharacter"/>
        </w:rPr>
        <w:t>宁德时代</w:t>
      </w:r>
      <w:r>
        <w:t>、</w:t>
      </w:r>
      <w:r>
        <w:rPr>
          <w:rStyle w:val="anyCharacter"/>
        </w:rPr>
        <w:t>比亚迪</w:t>
      </w:r>
      <w:r>
        <w:t>、</w:t>
      </w:r>
      <w:r>
        <w:rPr>
          <w:rStyle w:val="anyCharacter"/>
        </w:rPr>
        <w:t>亿纬锂能</w:t>
      </w:r>
      <w:r>
        <w:t xml:space="preserve">等，国内以电池厂间接供货为主，海外部分直接对接车厂。生产基地分布于西安（2022年建成，当前产能饱满，通过租赁场地过渡，2028年二期投产）、泰国（6条产线已投产，2026年计划新增3条），并规划在东欧建设基地服务欧洲客户。海外子公司覆盖德国、美国、韩国、日本、新加坡等市场。财务数据方面，2025年销售额21.72亿元，2026年一季度销售额6.32亿元（同比增长显著），归母净利润1.14亿元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二、新能源汽车业务及销售目标</w:t>
      </w:r>
    </w:p>
    <w:p>
      <w:pPr>
        <w:pStyle w:val="any"/>
        <w:spacing w:before="240" w:after="240"/>
      </w:pPr>
      <w:r>
        <w:t>2026年公司总收入目标为2025年21.72亿元基础上增长30%。新能源汽车业务一季度表现优于行业预期，主要受益于800伏平台车型上量，公司在该领域产品力全球领先。国内车市压力部分被出口增长（公司产品在出口车型中占比高）及商用车（大巴、</w:t>
      </w:r>
      <w:r>
        <w:rPr>
          <w:rStyle w:val="anyCharacter"/>
        </w:rPr>
        <w:t>重卡</w:t>
      </w:r>
      <w:r>
        <w:t xml:space="preserve">）销量增长（公司市占率领先）弥补。激励熔断器为核心增长点，2026年目标同比增长50%（含涨价影响），2025年销量约260万只，单车价值量200元左右，毛利率约45%（高于电力熔断器）。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三、海外客户拓展情况</w:t>
      </w:r>
    </w:p>
    <w:p>
      <w:pPr>
        <w:pStyle w:val="any"/>
        <w:spacing w:before="240" w:after="240"/>
      </w:pPr>
      <w:r>
        <w:t xml:space="preserve">2026年海外客户进入放量期，2024年公告的海外客户（如宝马等）车型逐步下线，由泰国及西安基地供货，产能爬坡需一定时间。纯出口收入目标按50%增长（2025年直接出口1.69亿元）。主要市场包括欧洲、美国、韩国，日本市场进展较慢。海外新平台车型普遍采用公司产品，定点情况良好，随着新车型产线逐步投产，2027年后有望贡献更大增量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四、风光储业务收入预期</w:t>
      </w:r>
    </w:p>
    <w:p>
      <w:pPr>
        <w:pStyle w:val="any"/>
        <w:spacing w:before="240" w:after="240"/>
      </w:pPr>
      <w:r>
        <w:t xml:space="preserve">行业普遍预期2026年风光储收入增长40%以上，公司目标略高于行业增速。2025年该业务面临价格压力，2026年一季度毛利率受铜、银价格波动影响同比下降2.67%，公司正与客户协商价格联动机制以应对原材料波动。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五、毛利率及成本控制</w:t>
      </w:r>
    </w:p>
    <w:p>
      <w:pPr>
        <w:pStyle w:val="any"/>
        <w:spacing w:before="240" w:after="240"/>
      </w:pPr>
      <w:r>
        <w:t xml:space="preserve">2025年综合毛利率40.58%，2026年一季度受铜、银价格大幅波动（成本占比约20%）影响，毛利率同比下降2.67%。二季度目标在一季度基础上环比提升，但全年毛利率难以恢复至2025年水平。净利率受费用控制（降本增效）及规模效应支撑，下降幅度小于毛利率。价格调整周期原为一年，2026年因原材料波动特殊，正与客户协商动态联动机制，部分客户已确认涨价，但传导比例需个案协商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六、800伏平台与激励熔断器业务</w:t>
      </w:r>
    </w:p>
    <w:p>
      <w:pPr>
        <w:pStyle w:val="any"/>
        <w:spacing w:before="240" w:after="240"/>
      </w:pPr>
      <w:r>
        <w:t xml:space="preserve">激励熔断器主要配套800伏平台，400伏车型因历史设计未普遍采用。2025年全球800伏渗透率约10%，2026年预计提升，远期新平台车型将以800伏为主，400伏产品需求逐步萎缩。激励熔断器单车价值量约200元，毛利约45%，2026年销量目标同比增长50%（含涨价影响）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七、继电器及集成产品拓展</w:t>
      </w:r>
    </w:p>
    <w:p>
      <w:pPr>
        <w:pStyle w:val="any"/>
        <w:spacing w:before="240" w:after="240"/>
      </w:pPr>
      <w:r>
        <w:t xml:space="preserve">公司横向拓展继电器、传感器，目标从零部件供应商升级为集成服务提供商（如BDU模块）。集成产品单车价值量预计为原有熔断器（200元）的3-4倍（600-800元），但因包含铜牌、塑件等低毛利部件，整体毛利率预计低于熔断器（30%+）。目前已有个别客户定点，但批量量产尚需时间。与宏发等竞争对手的竞争核心在于掌握核心零部件，属于扩展性策略，非防御性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八、继电器产品研发及产能规划</w:t>
      </w:r>
    </w:p>
    <w:p>
      <w:pPr>
        <w:pStyle w:val="any"/>
        <w:spacing w:before="240" w:after="240"/>
      </w:pPr>
      <w:r>
        <w:t xml:space="preserve">继电器聚焦车端高压直流领域，研发投入已持续数年，引进国内外人才。产能规划纳入西安二期基地（2028年投产），总投资11.4亿元，包含厂房、设备及试验设施，熔断器与继电器产线将同步布局。2025年处于前期研发阶段，已有部分定点，2027年有望实现销售，2028年随二期投产放量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九、主要客户（比亚迪）合作情况</w:t>
      </w:r>
    </w:p>
    <w:p>
      <w:pPr>
        <w:pStyle w:val="any"/>
        <w:spacing w:before="240" w:after="240"/>
      </w:pPr>
      <w:r>
        <w:t xml:space="preserve">比亚迪为公司核心客户，合作份额持续提升，主要受益于其800伏平台车型上量，熔断器产品以公司供应为主。具体份额数据未披露。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十、公司中长期发展策略</w:t>
      </w:r>
    </w:p>
    <w:p>
      <w:pPr>
        <w:pStyle w:val="any"/>
        <w:spacing w:before="240" w:after="240"/>
      </w:pPr>
      <w:r>
        <w:t xml:space="preserve">核心策略为“横向拓展产品+纵向拓展海外”，避免依赖单一行业。产品端从熔断器向继电器、传感器及集成产品延伸；市场端重点拓展海外（欧洲、美国、东南亚）及新兴行业（数据中心）。关注高压技术升级趋势（如800伏以上），提前布局研发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十一、海外重点客户（宝马等）合作情况</w:t>
      </w:r>
    </w:p>
    <w:p>
      <w:pPr>
        <w:pStyle w:val="any"/>
        <w:spacing w:before="240" w:after="240"/>
      </w:pPr>
      <w:r>
        <w:t xml:space="preserve">宝马等海外客户订单随其车型销量变动，生命周期订单已确定，供应激励及电力熔断器。海外车厂研发周期长、车型稳定，新平台车型逐步下线，2026年为爬坡期，2027年后贡献增量。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十二、海外800伏市场进展</w:t>
      </w:r>
    </w:p>
    <w:p>
      <w:pPr>
        <w:pStyle w:val="any"/>
        <w:spacing w:before="240" w:after="240"/>
      </w:pPr>
      <w:r>
        <w:t>海外800伏渗透率低于国内，新平台车型2026年开始下线，原有400伏车型因设计惯性难以更换。</w:t>
      </w:r>
      <w:r>
        <w:rPr>
          <w:rStyle w:val="anyCharacter"/>
        </w:rPr>
        <w:t>特斯拉</w:t>
      </w:r>
      <w:r>
        <w:t xml:space="preserve">Cybertruck等新平台采用高压技术，原有Model 3/Y等车型维持400伏。预计2026年海外800伏市占率逐步提升，2027-2028年进入放量期。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十三、欧洲及亚洲市场拓展情况</w:t>
      </w:r>
    </w:p>
    <w:p>
      <w:pPr>
        <w:pStyle w:val="any"/>
        <w:spacing w:before="240" w:after="240"/>
      </w:pPr>
      <w:r>
        <w:t xml:space="preserve">欧洲市场客户包括宝马、奔驰、大众等，韩国进展较快，日本因电动化进程慢（2025年才成立子公司）相对滞后。欧洲车厂电动化受基础设施及政策影响，进度逐步加快。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十四、数据中心业务情况</w:t>
      </w:r>
    </w:p>
    <w:p>
      <w:pPr>
        <w:pStyle w:val="any"/>
        <w:spacing w:before="240" w:after="240"/>
      </w:pPr>
      <w:r>
        <w:t xml:space="preserve">2025年收入约1亿元（含通讯行业8000万元，部分归属其他项），主要为240V/336V直流产品，800伏尚未批量供应。核心客户包括维谛、台达、华为、中恒等，2026年增速目标50%。800伏产品已送样测试，部分客户定点，大规模应用预计2027年。当前通讯类产品毛利率低于新能源汽车，800伏产品或提升毛利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十五、下游市场结构与竞争</w:t>
      </w:r>
    </w:p>
    <w:p>
      <w:pPr>
        <w:pStyle w:val="any"/>
        <w:spacing w:before="240" w:after="240"/>
      </w:pPr>
      <w:r>
        <w:t xml:space="preserve">下游市场集中度较高，客户倾向选择2-3家供应商以平衡风险。集成产品市场空间大，竞争格局尚未形成，公司目标通过技术优势（如零部件融合设计）占据前列。与宏发等竞争对手相比，核心竞争力在于快速响应客户需求及创新能力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十六、研发投入与战略方向</w:t>
      </w:r>
    </w:p>
    <w:p>
      <w:pPr>
        <w:pStyle w:val="any"/>
        <w:spacing w:before="240" w:after="240"/>
      </w:pPr>
      <w:r>
        <w:t xml:space="preserve">研发投入聚焦新能源汽车、风光储、数据中心三大行业，无明确行业分配比例，以客户需求驱动项目。中长期布局集成产品（如BDU模块）及微电子事业部（低压集成业务）。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十七、微电子事业部与低压集成业务</w:t>
      </w:r>
    </w:p>
    <w:p>
      <w:pPr>
        <w:pStyle w:val="any"/>
        <w:spacing w:before="240" w:after="240"/>
      </w:pPr>
      <w:r>
        <w:t xml:space="preserve">新成立的微电子事业部聚焦低压集成领域（如车端低压、工业控制），产品处于研发修订阶段，2025年完成流片但需优化，尚未量产。战略目标是复制熔断器业务成功模式，拓展新行业应用。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十八、国际化战略与收入目标</w:t>
      </w:r>
    </w:p>
    <w:p>
      <w:pPr>
        <w:pStyle w:val="any"/>
        <w:spacing w:before="240" w:after="240"/>
      </w:pPr>
      <w:r>
        <w:t xml:space="preserve">中长期目标海外收入占比超40%，无明确时间节点，依赖新能源汽车及数据中心海外拓展。泰国基地支撑东南亚市场，东欧基地规划服务欧洲客户。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十九、全年收入及利润率预期</w:t>
      </w:r>
    </w:p>
    <w:p>
      <w:pPr>
        <w:pStyle w:val="any"/>
        <w:spacing w:before="240" w:after="240"/>
      </w:pPr>
      <w:r>
        <w:t xml:space="preserve">2026年收入目标30%增长（约28亿元），一季度6.32亿元因2025年基数低（3.9亿元）同比高增，二季度预计环比提升。毛利率受铜银价格影响全年难达40.58%，净利率靠规模效应及费用控制保障。数据中心800伏产品2026年收入贡献有限。 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二十、潜在下游行业拓展</w:t>
      </w:r>
    </w:p>
    <w:p>
      <w:pPr>
        <w:pStyle w:val="any"/>
        <w:spacing w:before="240" w:after="240"/>
      </w:pPr>
      <w:r>
        <w:t>优先布局智能电网等需要创新产品的行业，传统车低压、电表前侧等非创新领域暂不考虑。资源集中投向新能源汽车、风光储、数据中心等快速增长行业，待新行业拐点出现时适时介入。</w:t>
      </w:r>
    </w:p>
    <w:p>
      <w:pPr>
        <w:pStyle w:val="Heading1"/>
        <w:keepNext w:val="0"/>
        <w:spacing w:before="161" w:after="161"/>
        <w:rPr>
          <w:b/>
          <w:bCs/>
        </w:rPr>
      </w:pPr>
      <w:r>
        <w:rPr>
          <w:rFonts w:ascii="Times New Roman" w:eastAsia="Times New Roman" w:hAnsi="Times New Roman" w:cs="Times New Roman"/>
          <w:i w:val="0"/>
        </w:rPr>
        <w:t>Q&amp;A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Q1: 今年收入30%的增长是否指总收入？</w:t>
      </w:r>
    </w:p>
    <w:p>
      <w:r>
        <w:t xml:space="preserve">A1: </w:t>
      </w:r>
    </w:p>
    <w:p>
      <w:pPr>
        <w:pStyle w:val="any"/>
        <w:spacing w:before="240" w:after="240"/>
      </w:pPr>
      <w:r>
        <w:t>是的，总收入以去年21.72亿元为基础，今年按30%增长目标推进。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Q2: 今年一季度风光储业务收入占比大概是多少？</w:t>
      </w:r>
    </w:p>
    <w:p>
      <w:r>
        <w:t xml:space="preserve">A2: </w:t>
      </w:r>
    </w:p>
    <w:p>
      <w:pPr>
        <w:pStyle w:val="any"/>
        <w:spacing w:before="240" w:after="240"/>
      </w:pPr>
      <w:r>
        <w:t>未拆分具体占比，但风光储业务保持持续较高增长，今年目标为同比增长50%以上。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Q3: 新能源汽车领域的海外客户今年是否放量？</w:t>
      </w:r>
    </w:p>
    <w:p>
      <w:r>
        <w:t xml:space="preserve">A3: </w:t>
      </w:r>
    </w:p>
    <w:p>
      <w:pPr>
        <w:pStyle w:val="any"/>
        <w:spacing w:before="240" w:after="240"/>
      </w:pPr>
      <w:r>
        <w:t>2026年海外客户处于起步阶段，今年将逐步放量，部分客户已开始下线，但达到产线均值或峰值仍需时间。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Q4: 今年海外客户的收入占比大概是多少？</w:t>
      </w:r>
    </w:p>
    <w:p>
      <w:r>
        <w:t xml:space="preserve">A4: </w:t>
      </w:r>
    </w:p>
    <w:p>
      <w:pPr>
        <w:pStyle w:val="any"/>
        <w:spacing w:before="240" w:after="240"/>
      </w:pPr>
      <w:r>
        <w:t>按纯出口口径考虑，今年海外收入占比基本按50%目标推进，去年直接出口数据为1.69亿元。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Q5: 海外主要客户集中在哪些地区？</w:t>
      </w:r>
    </w:p>
    <w:p>
      <w:r>
        <w:t xml:space="preserve">A5: </w:t>
      </w:r>
    </w:p>
    <w:p>
      <w:pPr>
        <w:pStyle w:val="any"/>
        <w:spacing w:before="240" w:after="240"/>
      </w:pPr>
      <w:r>
        <w:t>海外客户主要集中在美国、欧洲，韩国表现也不错，日本相对较弱。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Q6: 目前与海外客户的合作关系如何？</w:t>
      </w:r>
    </w:p>
    <w:p>
      <w:r>
        <w:t xml:space="preserve">A6: </w:t>
      </w:r>
    </w:p>
    <w:p>
      <w:pPr>
        <w:pStyle w:val="any"/>
        <w:spacing w:before="240" w:after="240"/>
      </w:pPr>
      <w:r>
        <w:t>海外客户尚未进入大量采购阶段，但新平台车型基本会采用公司产品，部分2023年公告的客户已开始下线相关车型。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Q7: 风光储业务今年的收入增长预期是多少？</w:t>
      </w:r>
    </w:p>
    <w:p>
      <w:r>
        <w:t xml:space="preserve">A7: </w:t>
      </w:r>
    </w:p>
    <w:p>
      <w:pPr>
        <w:pStyle w:val="any"/>
        <w:spacing w:before="240" w:after="240"/>
      </w:pPr>
      <w:r>
        <w:t>行业普遍预期增长40%多，公司目标略高于行业增长。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Q8: 铜银价格波动下，是否已与客户就价格调整进行谈判？</w:t>
      </w:r>
    </w:p>
    <w:p>
      <w:r>
        <w:t xml:space="preserve">A8: </w:t>
      </w:r>
    </w:p>
    <w:p>
      <w:pPr>
        <w:pStyle w:val="any"/>
        <w:spacing w:before="240" w:after="240"/>
      </w:pPr>
      <w:r>
        <w:t>部分价格调整已确认，部分仍在谈判过程中。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Q9: 产品价格是否会与铜银价格波动联动？</w:t>
      </w:r>
    </w:p>
    <w:p>
      <w:r>
        <w:t xml:space="preserve">A9: </w:t>
      </w:r>
    </w:p>
    <w:p>
      <w:pPr>
        <w:pStyle w:val="any"/>
        <w:spacing w:before="240" w:after="240"/>
      </w:pPr>
      <w:r>
        <w:t>公司希望与客户建立价格联动机制，但需双方协商确定，目前正沟通合适的波动处理模式。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Q10: 铜银价格波动较大时，如何与客户达成共识？</w:t>
      </w:r>
    </w:p>
    <w:p>
      <w:r>
        <w:t xml:space="preserve">A10: </w:t>
      </w:r>
    </w:p>
    <w:p>
      <w:pPr>
        <w:pStyle w:val="any"/>
        <w:spacing w:before="240" w:after="240"/>
      </w:pPr>
      <w:r>
        <w:t>需与客户协商各自承担部分成本或其他共赢模式，避免频繁调整价格，同时考虑不同客户的具体情况。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Q11: 今年毛利率预计达到多少？</w:t>
      </w:r>
    </w:p>
    <w:p>
      <w:r>
        <w:t xml:space="preserve">A11: </w:t>
      </w:r>
    </w:p>
    <w:p>
      <w:pPr>
        <w:pStyle w:val="any"/>
        <w:spacing w:before="240" w:after="240"/>
      </w:pPr>
      <w:r>
        <w:t>今年毛利率难以达到去年40.58%的水平，受铜银价格波动及战争等因素影响，具体数值因铜银价格走势不确定而无法确定。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Q12: 与客户谈价时倾向于成本分摊还是完全传导？</w:t>
      </w:r>
    </w:p>
    <w:p>
      <w:r>
        <w:t xml:space="preserve">A12: </w:t>
      </w:r>
    </w:p>
    <w:p>
      <w:pPr>
        <w:pStyle w:val="any"/>
        <w:spacing w:before="240" w:after="240"/>
      </w:pPr>
      <w:r>
        <w:t>不会完全传导成本，公司需内部消化部分，通过与客户协商达成长期共赢。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Q13: 二季度毛利率环比是持平还是提升？</w:t>
      </w:r>
    </w:p>
    <w:p>
      <w:r>
        <w:t xml:space="preserve">A13: </w:t>
      </w:r>
    </w:p>
    <w:p>
      <w:pPr>
        <w:pStyle w:val="any"/>
        <w:spacing w:before="240" w:after="240"/>
      </w:pPr>
      <w:r>
        <w:t>公司希望在一季度基础上逐步提升毛利率。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Q14: 铜银成本占总成本的比例大概是多少？</w:t>
      </w:r>
    </w:p>
    <w:p>
      <w:r>
        <w:t xml:space="preserve">A14: </w:t>
      </w:r>
    </w:p>
    <w:p>
      <w:pPr>
        <w:pStyle w:val="any"/>
        <w:spacing w:before="240" w:after="240"/>
      </w:pPr>
      <w:r>
        <w:t>铜银成本占总成本的20%左右。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Q15: 净利率的下降幅度是否小于毛利率？</w:t>
      </w:r>
    </w:p>
    <w:p>
      <w:r>
        <w:t xml:space="preserve">A15: </w:t>
      </w:r>
    </w:p>
    <w:p>
      <w:pPr>
        <w:pStyle w:val="any"/>
        <w:spacing w:before="240" w:after="240"/>
      </w:pPr>
      <w:r>
        <w:t>是的，净利率受毛利下降影响较小，因公司持续推进降本增效，且销售额增长可保障净利率稳定。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Q16: 产品价格通常多久与客户调整一次？</w:t>
      </w:r>
    </w:p>
    <w:p>
      <w:r>
        <w:t xml:space="preserve">A16: </w:t>
      </w:r>
    </w:p>
    <w:p>
      <w:pPr>
        <w:pStyle w:val="any"/>
        <w:spacing w:before="240" w:after="240"/>
      </w:pPr>
      <w:r>
        <w:t>往年通常为一年调整一次（年初），但非一刀切，会根据产品销量及节点谈判；今年因铜银价格波动特殊，调整机制需重新协商。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Q17: 已谈定的涨价是否还有机会再次调整？</w:t>
      </w:r>
    </w:p>
    <w:p>
      <w:r>
        <w:t xml:space="preserve">A17: </w:t>
      </w:r>
    </w:p>
    <w:p>
      <w:pPr>
        <w:pStyle w:val="any"/>
        <w:spacing w:before="240" w:after="240"/>
      </w:pPr>
      <w:r>
        <w:t>今年情况特殊，铜银价格走势难判断，公司与客户希望尽量避免频繁调整，需协商稳定的波动处理方式，具体调整频率因客户而异。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Q18: 目前800伏平台的渗透率处于什么水平？</w:t>
      </w:r>
    </w:p>
    <w:p>
      <w:r>
        <w:t xml:space="preserve">A18: </w:t>
      </w:r>
    </w:p>
    <w:p>
      <w:pPr>
        <w:pStyle w:val="any"/>
        <w:spacing w:before="240" w:after="240"/>
      </w:pPr>
      <w:r>
        <w:t>尚无确切数据，大致在10%多；去年激励熔断器销量约260万只，今年随着800伏成为主流，渗透率将进一步提升，远期基本会以800伏为主。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Q19: 400伏平台对应产品的收入是否会逐步下滑？</w:t>
      </w:r>
    </w:p>
    <w:p>
      <w:r>
        <w:t xml:space="preserve">A19: </w:t>
      </w:r>
    </w:p>
    <w:p>
      <w:pPr>
        <w:pStyle w:val="any"/>
        <w:spacing w:before="240" w:after="240"/>
      </w:pPr>
      <w:r>
        <w:t>400伏产品原本供应量不大，800伏成为普遍方案后，激励熔断器占比将提升，400伏产品收入可能逐步下滑。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Q20: 下游电子厂客户是否有降价诉求？</w:t>
      </w:r>
    </w:p>
    <w:p>
      <w:r>
        <w:t xml:space="preserve">A20: </w:t>
      </w:r>
    </w:p>
    <w:p>
      <w:pPr>
        <w:pStyle w:val="any"/>
        <w:spacing w:before="240" w:after="240"/>
      </w:pPr>
      <w:r>
        <w:t>往年有降价诉求，今年因铜银价格上涨，客户更关注价格调整而非降价，协商过程需反复沟通。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Q21: 中熔电气与宏发在继电器和模组产品领域是否存在互相采购？</w:t>
      </w:r>
    </w:p>
    <w:p>
      <w:r>
        <w:t xml:space="preserve">A21: </w:t>
      </w:r>
    </w:p>
    <w:p>
      <w:pPr>
        <w:pStyle w:val="any"/>
        <w:spacing w:before="240" w:after="240"/>
      </w:pPr>
      <w:r>
        <w:t>目前不存在互相采购，双方均倾向于自主掌握核心零部件，以避免供应链制约。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Q22: 集成产品组合未来的市场容量大概是多少？</w:t>
      </w:r>
    </w:p>
    <w:p>
      <w:r>
        <w:t xml:space="preserve">A22: </w:t>
      </w:r>
    </w:p>
    <w:p>
      <w:pPr>
        <w:pStyle w:val="any"/>
        <w:spacing w:before="240" w:after="240"/>
      </w:pPr>
      <w:r>
        <w:t>从零件到部件的价值量呈倍数级增长，单车价值量预计为现有熔断器的3-4倍（原单车熔断器价值量约200元，模块可能达600-800元），具体数值需批量生产后确定，大方向增长确定。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Q23: 模块产品目前是否已通过客户认证？</w:t>
      </w:r>
    </w:p>
    <w:p>
      <w:r>
        <w:t xml:space="preserve">A23: </w:t>
      </w:r>
    </w:p>
    <w:p>
      <w:pPr>
        <w:pStyle w:val="any"/>
        <w:spacing w:before="240" w:after="240"/>
      </w:pPr>
      <w:r>
        <w:t>已有个别客户定点，但远未到批量生产阶段，仍需时间。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Q24: 三四倍的增长是基于现有业务体量吗？</w:t>
      </w:r>
    </w:p>
    <w:p>
      <w:r>
        <w:t xml:space="preserve">A24: </w:t>
      </w:r>
    </w:p>
    <w:p>
      <w:pPr>
        <w:pStyle w:val="any"/>
        <w:spacing w:before="240" w:after="240"/>
      </w:pPr>
      <w:r>
        <w:t>指单车价值量的增长，即现有单车熔断器价值量（约200元）基础上，模块产品单车价值量预计增长3-4倍。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Q25: 目前模块产品的生产厂家是否以小型组装厂为主？</w:t>
      </w:r>
    </w:p>
    <w:p>
      <w:r>
        <w:t xml:space="preserve">A25: </w:t>
      </w:r>
    </w:p>
    <w:p>
      <w:pPr>
        <w:pStyle w:val="any"/>
        <w:spacing w:before="240" w:after="240"/>
      </w:pPr>
      <w:r>
        <w:t>现有模块组装厂规模不一，部分规模较大，其模式为采购各家零部件后组装；未来趋势是集成化、小型化、模块化及增加控制功能。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Q26: 拓展模块产品是否属于防御性行为？</w:t>
      </w:r>
    </w:p>
    <w:p>
      <w:r>
        <w:t xml:space="preserve">A26: </w:t>
      </w:r>
    </w:p>
    <w:p>
      <w:pPr>
        <w:pStyle w:val="any"/>
        <w:spacing w:before="240" w:after="240"/>
      </w:pPr>
      <w:r>
        <w:t>更多是扩展性行为，旨在打开长期发展空间，而非防御；公司需提前规划五年后的发展路径，布局集成产品是重要方向。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Q27: 拓展继电器等产品是通过收购还是自研？</w:t>
      </w:r>
    </w:p>
    <w:p>
      <w:r>
        <w:t xml:space="preserve">A27: </w:t>
      </w:r>
    </w:p>
    <w:p>
      <w:pPr>
        <w:pStyle w:val="any"/>
        <w:spacing w:before="240" w:after="240"/>
      </w:pPr>
      <w:r>
        <w:t>传感器通过收购，继电器以自研为主，并引进优秀人才。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Q28: 未来是否有其他收购计划？</w:t>
      </w:r>
    </w:p>
    <w:p>
      <w:r>
        <w:t xml:space="preserve">A28: </w:t>
      </w:r>
    </w:p>
    <w:p>
      <w:pPr>
        <w:pStyle w:val="any"/>
        <w:spacing w:before="240" w:after="240"/>
      </w:pPr>
      <w:r>
        <w:t>不排除收购可能，但不会为收购而收购，需寻找匹配的标的，国内外合适标的均会考虑。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Q29: 目前集成商模式的市场占比有多高？</w:t>
      </w:r>
    </w:p>
    <w:p>
      <w:r>
        <w:t xml:space="preserve">A29: </w:t>
      </w:r>
    </w:p>
    <w:p>
      <w:pPr>
        <w:pStyle w:val="any"/>
        <w:spacing w:before="240" w:after="240"/>
      </w:pPr>
      <w:r>
        <w:t>车厂多采取从集成商采购部件的模式，集成商采购各家零部件后打包供应车厂。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Q30: 车厂采购模块产品时，从集成商打包采购与直接联系零部件公司采购哪种模式占比更高？</w:t>
      </w:r>
    </w:p>
    <w:p>
      <w:r>
        <w:t xml:space="preserve">A30: </w:t>
      </w:r>
    </w:p>
    <w:p>
      <w:pPr>
        <w:pStyle w:val="any"/>
        <w:spacing w:before="240" w:after="240"/>
      </w:pPr>
      <w:r>
        <w:t>目前车厂主要通过集成商采购，即车厂对零部件公司进行认证，但实际采购通过集成商完成。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Q31: 跨界研发继电器产品是否存在难度？</w:t>
      </w:r>
    </w:p>
    <w:p>
      <w:r>
        <w:t xml:space="preserve">A31: </w:t>
      </w:r>
    </w:p>
    <w:p>
      <w:pPr>
        <w:pStyle w:val="any"/>
        <w:spacing w:before="240" w:after="240"/>
      </w:pPr>
      <w:r>
        <w:t>任何新产品对公司都是挑战与机会，继电器研发已筹备多年，研发投入较大，并引进国内外优秀人才，车规级高压直流继电器是主要方向。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Q32: 后续产线及固定资产有何新规划？</w:t>
      </w:r>
    </w:p>
    <w:p>
      <w:r>
        <w:t xml:space="preserve">A32: </w:t>
      </w:r>
    </w:p>
    <w:p>
      <w:pPr>
        <w:pStyle w:val="any"/>
        <w:spacing w:before="240" w:after="240"/>
      </w:pPr>
      <w:r>
        <w:t>西安二期项目总投入约11.4亿元，包含厂房、试验及生产线，覆盖熔断器、继电器等新产品，预计2028年投入使用；泰国基地今年将新增3条生产线。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Q33: 远期产能50亿以上的目标是否考虑了BDU产品？</w:t>
      </w:r>
    </w:p>
    <w:p>
      <w:r>
        <w:t xml:space="preserve">A33: </w:t>
      </w:r>
    </w:p>
    <w:p>
      <w:pPr>
        <w:pStyle w:val="any"/>
        <w:spacing w:before="240" w:after="240"/>
      </w:pPr>
      <w:r>
        <w:t>主要以熔断器为主，若BDU产品放量，可能更快达成目标。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Q34: 高压直流继电器预计何时开始放量？</w:t>
      </w:r>
    </w:p>
    <w:p>
      <w:r>
        <w:t xml:space="preserve">A34: </w:t>
      </w:r>
    </w:p>
    <w:p>
      <w:pPr>
        <w:pStyle w:val="any"/>
        <w:spacing w:before="240" w:after="240"/>
      </w:pPr>
      <w:r>
        <w:t>不依赖西安二期投产（2028年），希望2027年开始有销售体现，2026年以获取更多定点为主，目前已有部分定点，处于前期研发阶段。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Q35: 在比亚迪的市占率是否相对较低？</w:t>
      </w:r>
    </w:p>
    <w:p>
      <w:r>
        <w:t xml:space="preserve">A35: </w:t>
      </w:r>
    </w:p>
    <w:p>
      <w:pPr>
        <w:pStyle w:val="any"/>
        <w:spacing w:before="240" w:after="240"/>
      </w:pPr>
      <w:r>
        <w:t>公司在比亚迪的市占率一直在提升，因800伏平台产品优势明显，且比亚迪新平台车型中熔断器主要由公司供应。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Q36: 在比亚迪的市占率是否有突破可能？</w:t>
      </w:r>
    </w:p>
    <w:p>
      <w:r>
        <w:t xml:space="preserve">A36: </w:t>
      </w:r>
    </w:p>
    <w:p>
      <w:pPr>
        <w:pStyle w:val="any"/>
        <w:spacing w:before="240" w:after="240"/>
      </w:pPr>
      <w:r>
        <w:t>近两年市占率持续增长，随着比亚迪新平台车型增多，市占率有望进一步提升。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Q37: 若800伏渗透率提升放缓，相关收入增速是否会下降？</w:t>
      </w:r>
    </w:p>
    <w:p>
      <w:r>
        <w:t xml:space="preserve">A37: </w:t>
      </w:r>
    </w:p>
    <w:p>
      <w:pPr>
        <w:pStyle w:val="any"/>
        <w:spacing w:before="240" w:after="240"/>
      </w:pPr>
      <w:r>
        <w:t>若仅依赖单一行业，增速可能面临瓶颈，公司通过横向拓展产品线（如继电器、传感器）及海外市场，以支撑中长期增长。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Q38: 拓展模块产品是否会抢占现有客户市场，客户是否愿意接受？</w:t>
      </w:r>
    </w:p>
    <w:p>
      <w:r>
        <w:t xml:space="preserve">A38: </w:t>
      </w:r>
    </w:p>
    <w:p>
      <w:pPr>
        <w:pStyle w:val="any"/>
        <w:spacing w:before="240" w:after="240"/>
      </w:pPr>
      <w:r>
        <w:t>模块产品是市场需求驱动的迭代方向，客户有集成化、高价值功能需求，公司与其他厂商均有机会，核心是发挥各自优势，客户愿与能提供更高价值的供应商合作。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Q39: 是否能分享比亚迪的份额数据？</w:t>
      </w:r>
    </w:p>
    <w:p>
      <w:r>
        <w:t xml:space="preserve">A39: </w:t>
      </w:r>
    </w:p>
    <w:p>
      <w:pPr>
        <w:pStyle w:val="any"/>
        <w:spacing w:before="240" w:after="240"/>
      </w:pPr>
      <w:r>
        <w:t>客户不允许分享具体份额数据。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Q40: 对特斯拉的激励熔断器供应是否较少？</w:t>
      </w:r>
    </w:p>
    <w:p>
      <w:r>
        <w:t xml:space="preserve">A40: </w:t>
      </w:r>
    </w:p>
    <w:p>
      <w:pPr>
        <w:pStyle w:val="any"/>
        <w:spacing w:before="240" w:after="240"/>
      </w:pPr>
      <w:r>
        <w:t>特斯拉Model 3、Model Y仍使用自研方案，公司暂未供应；其他车型存在合作可能。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Q41: 宝马今年预计产生的订单水平如何？</w:t>
      </w:r>
    </w:p>
    <w:p>
      <w:r>
        <w:t xml:space="preserve">A41: </w:t>
      </w:r>
    </w:p>
    <w:p>
      <w:pPr>
        <w:pStyle w:val="any"/>
        <w:spacing w:before="240" w:after="240"/>
      </w:pPr>
      <w:r>
        <w:t>订单量随宝马新能源汽车销量变动，宝马未提供确切年度订单，公司按其生命周期订单执行，激励熔断器和电力熔断器均有供应。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Q42: 若海外新能源汽车销量为800万辆，今年公司市占率能否达到10%？</w:t>
      </w:r>
    </w:p>
    <w:p>
      <w:r>
        <w:t xml:space="preserve">A42: </w:t>
      </w:r>
    </w:p>
    <w:p>
      <w:pPr>
        <w:pStyle w:val="any"/>
        <w:spacing w:before="240" w:after="240"/>
      </w:pPr>
      <w:r>
        <w:t>今年难以达到，因海外部分400伏车型未采用公司产品，新平台车型从2026年开始逐步下线，未来随着新车型放量，市占率将提升。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Q43: 海外车厂800伏平台的推进速度如何？</w:t>
      </w:r>
    </w:p>
    <w:p>
      <w:r>
        <w:t xml:space="preserve">A43: </w:t>
      </w:r>
    </w:p>
    <w:p>
      <w:pPr>
        <w:pStyle w:val="any"/>
        <w:spacing w:before="240" w:after="240"/>
      </w:pPr>
      <w:r>
        <w:t>比国内慢，研发周期长，车型确定后较少大改；特斯拉Cybertruck等新平台已开始采用高压方案，高端车型逐步向800伏渗透。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Q44: 特斯拉是否不太愿意推进800伏平台？</w:t>
      </w:r>
    </w:p>
    <w:p>
      <w:r>
        <w:t xml:space="preserve">A44: </w:t>
      </w:r>
    </w:p>
    <w:p>
      <w:pPr>
        <w:pStyle w:val="any"/>
        <w:spacing w:before="240" w:after="240"/>
      </w:pPr>
      <w:r>
        <w:t>特斯拉现有Model 3等车型因销量较好暂不更换平台，新平台车型（如Cybertruck）已开始向高压方向发展。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Q45: 欧洲车厂除宝马外，奔驰、大众等是否已合作？</w:t>
      </w:r>
    </w:p>
    <w:p>
      <w:r>
        <w:t xml:space="preserve">A45: </w:t>
      </w:r>
    </w:p>
    <w:p>
      <w:pPr>
        <w:pStyle w:val="any"/>
        <w:spacing w:before="240" w:after="240"/>
      </w:pPr>
      <w:r>
        <w:t>奔驰合作模式非直接采购，沃尔沃属中国品牌，大众等均在目标范围内，日本车厂电动化进展较慢。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Q46: 数据中心AIDC方案尚未形成，熔断器价值量是否确定？</w:t>
      </w:r>
    </w:p>
    <w:p>
      <w:r>
        <w:t xml:space="preserve">A46: </w:t>
      </w:r>
    </w:p>
    <w:p>
      <w:pPr>
        <w:pStyle w:val="any"/>
        <w:spacing w:before="240" w:after="240"/>
      </w:pPr>
      <w:r>
        <w:t>价值量尚不确定，目前数据中心熔断器主要为240V、336V直流产品，800伏产品未开始供应。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Q47: 去年数据中心相关收入是否约为1亿元？</w:t>
      </w:r>
    </w:p>
    <w:p>
      <w:r>
        <w:t xml:space="preserve">A47: </w:t>
      </w:r>
    </w:p>
    <w:p>
      <w:pPr>
        <w:pStyle w:val="any"/>
        <w:spacing w:before="240" w:after="240"/>
      </w:pPr>
      <w:r>
        <w:t>去年通讯行业收入8000多万元，其中大头可能属于数据中心，但包含部分交流产品，原数据中心相关收入统计在“其他”类别中。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Q48: </w:t>
      </w:r>
      <w:r>
        <w:rPr>
          <w:rStyle w:val="anyCharacter"/>
          <w:rFonts w:ascii="Times New Roman" w:eastAsia="Times New Roman" w:hAnsi="Times New Roman" w:cs="Times New Roman"/>
          <w:i w:val="0"/>
          <w:iCs w:val="0"/>
        </w:rPr>
        <w:t>HVDC</w:t>
      </w:r>
      <w:r>
        <w:rPr>
          <w:rFonts w:ascii="Times New Roman" w:eastAsia="Times New Roman" w:hAnsi="Times New Roman" w:cs="Times New Roman"/>
          <w:i w:val="0"/>
          <w:iCs w:val="0"/>
        </w:rPr>
        <w:t>熔断器是否需要每2-3次更换一次？</w:t>
      </w:r>
    </w:p>
    <w:p>
      <w:r>
        <w:t xml:space="preserve">A48: </w:t>
      </w:r>
    </w:p>
    <w:p>
      <w:pPr>
        <w:pStyle w:val="any"/>
        <w:spacing w:before="240" w:after="240"/>
      </w:pPr>
      <w:r>
        <w:t>目前行业尚未到该阶段，相关说法多为概念，公司未了解到明确更换周期。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Q49: 是否与海外大厂开展合作研发？</w:t>
      </w:r>
    </w:p>
    <w:p>
      <w:r>
        <w:t xml:space="preserve">A49: </w:t>
      </w:r>
    </w:p>
    <w:p>
      <w:pPr>
        <w:pStyle w:val="any"/>
        <w:spacing w:before="240" w:after="240"/>
      </w:pPr>
      <w:r>
        <w:t>与海外大厂合作模式为：客户提出性能、供货等要求，公司进行研发、测试并获取定点，配合客户方案开发。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Q50: 800伏数据中心预计何时大规模应用？</w:t>
      </w:r>
    </w:p>
    <w:p>
      <w:r>
        <w:t xml:space="preserve">A50: </w:t>
      </w:r>
    </w:p>
    <w:p>
      <w:pPr>
        <w:pStyle w:val="any"/>
        <w:spacing w:before="240" w:after="240"/>
      </w:pPr>
      <w:r>
        <w:t>预计2027年，2026年四季度行业可能逐步开始，但批量供应需过程。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Q51: 今年数据中心业务增速是否按50%目标推进？</w:t>
      </w:r>
    </w:p>
    <w:p>
      <w:r>
        <w:t xml:space="preserve">A51: </w:t>
      </w:r>
    </w:p>
    <w:p>
      <w:pPr>
        <w:pStyle w:val="any"/>
        <w:spacing w:before="240" w:after="240"/>
      </w:pPr>
      <w:r>
        <w:t>在去年基础上按50%增长目标规划，目前800伏产品尚未批量供应，增速较为保守。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Q52: 数据中心熔断器的供应对象是谁？</w:t>
      </w:r>
    </w:p>
    <w:p>
      <w:r>
        <w:t xml:space="preserve">A52: </w:t>
      </w:r>
    </w:p>
    <w:p>
      <w:pPr>
        <w:pStyle w:val="any"/>
        <w:spacing w:before="240" w:after="240"/>
      </w:pPr>
      <w:r>
        <w:t>直接客户为维谛、台达、华为、中恒、麦格米特等，不直接对接</w:t>
      </w:r>
      <w:r>
        <w:rPr>
          <w:rStyle w:val="anyCharacter"/>
        </w:rPr>
        <w:t>英伟达</w:t>
      </w:r>
      <w:r>
        <w:t>等终端用户。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Q53: 数据中心主要客户是否以国外为主？</w:t>
      </w:r>
    </w:p>
    <w:p>
      <w:r>
        <w:t xml:space="preserve">A53: </w:t>
      </w:r>
    </w:p>
    <w:p>
      <w:pPr>
        <w:pStyle w:val="any"/>
        <w:spacing w:before="240" w:after="240"/>
      </w:pPr>
      <w:r>
        <w:t>国内外客户均有，客户项目面向国内外市场，国外800伏进展较快（如英伟达推动），国内亦受政策重视。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Q54: 数据中心产品的价值量和毛利是否比车端更高？</w:t>
      </w:r>
    </w:p>
    <w:p>
      <w:r>
        <w:t xml:space="preserve">A54: </w:t>
      </w:r>
    </w:p>
    <w:p>
      <w:pPr>
        <w:pStyle w:val="any"/>
        <w:spacing w:before="240" w:after="240"/>
      </w:pPr>
      <w:r>
        <w:t>目前无法确定，AI数据中心毛利较高更多是概念，需批量供应后验证；通讯行业现有产品毛利低于</w:t>
      </w:r>
      <w:r>
        <w:rPr>
          <w:rStyle w:val="anyCharacter"/>
        </w:rPr>
        <w:t>新能源车</w:t>
      </w:r>
      <w:r>
        <w:t>，800伏产品因迭代可能提升毛利。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Q55: 通讯产品毛利是否比新能源车低？</w:t>
      </w:r>
    </w:p>
    <w:p>
      <w:r>
        <w:t xml:space="preserve">A55: </w:t>
      </w:r>
    </w:p>
    <w:p>
      <w:pPr>
        <w:pStyle w:val="any"/>
        <w:spacing w:before="240" w:after="240"/>
      </w:pPr>
      <w:r>
        <w:t>是的，通讯行业产品（如一次电源）生命周期长，毛利低于新能源车；新能源车属新兴行业，迭代快，毛利较高。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Q56: 数据中心的市占率是否比车端更高？</w:t>
      </w:r>
    </w:p>
    <w:p>
      <w:r>
        <w:t xml:space="preserve">A56: </w:t>
      </w:r>
    </w:p>
    <w:p>
      <w:pPr>
        <w:pStyle w:val="any"/>
        <w:spacing w:before="240" w:after="240"/>
      </w:pPr>
      <w:r>
        <w:t>公司在通讯行业市占率曾很高（如华为、中兴），近年因资源倾斜新能源车而维持正常增长；数据中心作为重点行业重新布局，有望复制高市占率模式。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Q57: 下游组装厂是否分散，一</w:t>
      </w:r>
      <w:r>
        <w:rPr>
          <w:rStyle w:val="anyCharacter"/>
          <w:rFonts w:ascii="Times New Roman" w:eastAsia="Times New Roman" w:hAnsi="Times New Roman" w:cs="Times New Roman"/>
          <w:i w:val="0"/>
          <w:iCs w:val="0"/>
        </w:rPr>
        <w:t>家电</w:t>
      </w:r>
      <w:r>
        <w:rPr>
          <w:rFonts w:ascii="Times New Roman" w:eastAsia="Times New Roman" w:hAnsi="Times New Roman" w:cs="Times New Roman"/>
          <w:i w:val="0"/>
          <w:iCs w:val="0"/>
        </w:rPr>
        <w:t>池厂是否固定合作一家组装厂？</w:t>
      </w:r>
    </w:p>
    <w:p>
      <w:r>
        <w:t xml:space="preserve">A57: </w:t>
      </w:r>
    </w:p>
    <w:p>
      <w:pPr>
        <w:pStyle w:val="any"/>
        <w:spacing w:before="240" w:after="240"/>
      </w:pPr>
      <w:r>
        <w:t>国内电池厂一般不会独供，会选择2-3家组装厂，不会过多（如5-8家），因需控制质量、管理及成本。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Q58: 下游市场是否属于集中度较高的市场？</w:t>
      </w:r>
    </w:p>
    <w:p>
      <w:r>
        <w:t xml:space="preserve">A58: </w:t>
      </w:r>
    </w:p>
    <w:p>
      <w:pPr>
        <w:pStyle w:val="any"/>
        <w:spacing w:before="240" w:after="240"/>
      </w:pPr>
      <w:r>
        <w:t>相对集中，熔断器等核心部件市场集中度高（公司及外资品牌占主要份额），组装厂集中度低于核心部件，但也仅有几家主要厂商。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Q59: 对未来模块产品的市场份额有何目标？</w:t>
      </w:r>
    </w:p>
    <w:p>
      <w:r>
        <w:t xml:space="preserve">A59: </w:t>
      </w:r>
    </w:p>
    <w:p>
      <w:pPr>
        <w:pStyle w:val="any"/>
        <w:spacing w:before="240" w:after="240"/>
      </w:pPr>
      <w:r>
        <w:t>希望做到市场前列，行业足够大，短期内各家均有空间，竞争力是关键，目标是成为主要参与者。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Q60: 模块市场体量是否很大，单个云端市场能否做到50%份额，做到10%-20%是否困难？</w:t>
      </w:r>
    </w:p>
    <w:p>
      <w:r>
        <w:t xml:space="preserve">A60: </w:t>
      </w:r>
    </w:p>
    <w:p>
      <w:pPr>
        <w:pStyle w:val="any"/>
        <w:spacing w:before="240" w:after="240"/>
      </w:pPr>
      <w:r>
        <w:t>模块市场体量较大，公司希望份额高于10%-20%，具体需看竞争力；行业集中度最终可能集中于2-3家，公司目标是成为头部厂商。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Q61: 模块产品与电池厂合作更好还是与主机厂合作更好？</w:t>
      </w:r>
    </w:p>
    <w:p>
      <w:r>
        <w:t xml:space="preserve">A61: </w:t>
      </w:r>
    </w:p>
    <w:p>
      <w:pPr>
        <w:pStyle w:val="any"/>
        <w:spacing w:before="240" w:after="240"/>
      </w:pPr>
      <w:r>
        <w:t>主机厂可能直接指定模块供应商，不一定通过电池厂采购，公司需同时对接主机厂和电池厂。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Q62: 海外推广进展较慢是否与基础设施及政策决心有关？</w:t>
      </w:r>
    </w:p>
    <w:p>
      <w:r>
        <w:t xml:space="preserve">A62: </w:t>
      </w:r>
    </w:p>
    <w:p>
      <w:pPr>
        <w:pStyle w:val="any"/>
        <w:spacing w:before="240" w:after="240"/>
      </w:pPr>
      <w:r>
        <w:t>是的，海外在原有技术路线有优势，转型决心不足，如部分国家推迟电动化目标；伊朗战争后能源压力可能加快转型。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Q63: 最新一代模块是否开始进行零部件融合？</w:t>
      </w:r>
    </w:p>
    <w:p>
      <w:r>
        <w:t xml:space="preserve">A63: </w:t>
      </w:r>
    </w:p>
    <w:p>
      <w:pPr>
        <w:pStyle w:val="any"/>
        <w:spacing w:before="240" w:after="240"/>
      </w:pPr>
      <w:r>
        <w:t>是的，集成化是趋势，设计时需考虑零部件融合以优化性能（如保护曲线匹配）和功耗，提升产品价值。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Q64: 模块产品是否已迭代到第几代？</w:t>
      </w:r>
    </w:p>
    <w:p>
      <w:r>
        <w:t xml:space="preserve">A64: </w:t>
      </w:r>
    </w:p>
    <w:p>
      <w:pPr>
        <w:pStyle w:val="any"/>
        <w:spacing w:before="240" w:after="240"/>
      </w:pPr>
      <w:r>
        <w:t>刚开始第一代研发，智能化功能需逐步迭代，2023年提出的EQS因成本及非最终方案未批量应用。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Q65: 直接向电池厂销售模块产品，毛利率是否不一定下降？</w:t>
      </w:r>
    </w:p>
    <w:p>
      <w:r>
        <w:t xml:space="preserve">A65: </w:t>
      </w:r>
    </w:p>
    <w:p>
      <w:pPr>
        <w:pStyle w:val="any"/>
        <w:spacing w:before="240" w:after="240"/>
      </w:pPr>
      <w:r>
        <w:t>模块包含铜牌、塑件等低毛利部件，综合毛利可能低于熔断器（40%左右），参考宏发等厂商，模块毛利可能在30%-35%；价值量提升后，毛利波动关注度可能降低。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Q66: 继电器的原材料结构有何变化？</w:t>
      </w:r>
    </w:p>
    <w:p>
      <w:r>
        <w:t xml:space="preserve">A66: </w:t>
      </w:r>
    </w:p>
    <w:p>
      <w:pPr>
        <w:pStyle w:val="any"/>
        <w:spacing w:before="240" w:after="240"/>
      </w:pPr>
      <w:r>
        <w:t>激励熔断器与传统电力熔断器原理不同，激励熔断器含爆炸装置，银使用量可能减少，铜占比可能提升，具体比例未明确。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Q67: 高压直流继电器未来是否会应用半导体技术？</w:t>
      </w:r>
    </w:p>
    <w:p>
      <w:r>
        <w:t xml:space="preserve">A67: </w:t>
      </w:r>
    </w:p>
    <w:p>
      <w:pPr>
        <w:pStyle w:val="any"/>
        <w:spacing w:before="240" w:after="240"/>
      </w:pPr>
      <w:r>
        <w:t>半导体主要应用于低压领域（如特斯拉E-fuse），高压800伏领域集成半导体较难，目前未看到相关趋势。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Q68: 传统通讯行业熔断器的电流参数是多少？</w:t>
      </w:r>
    </w:p>
    <w:p>
      <w:r>
        <w:t xml:space="preserve">A68: </w:t>
      </w:r>
    </w:p>
    <w:p>
      <w:pPr>
        <w:pStyle w:val="any"/>
        <w:spacing w:before="240" w:after="240"/>
      </w:pPr>
      <w:r>
        <w:t>交流产品（如500伏）电流约630安，直流产品（如80伏）最高约600安（2008-2009年产品参数）。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Q69: 目前研发的HVDC熔断器参数是多少？</w:t>
      </w:r>
    </w:p>
    <w:p>
      <w:r>
        <w:t xml:space="preserve">A69: </w:t>
      </w:r>
    </w:p>
    <w:p>
      <w:pPr>
        <w:pStyle w:val="any"/>
        <w:spacing w:before="240" w:after="240"/>
      </w:pPr>
      <w:r>
        <w:t>未提供具体参数，AI数据中心功率提升可能要求更高电压和电流，需根据客户方案匹配设计。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Q70: 数据中心功率变大但电压也变大，对以电流识别为主的熔断器来说，升级难度是否较低？</w:t>
      </w:r>
    </w:p>
    <w:p>
      <w:r>
        <w:t xml:space="preserve">A70: </w:t>
      </w:r>
    </w:p>
    <w:p>
      <w:pPr>
        <w:pStyle w:val="any"/>
        <w:spacing w:before="240" w:after="240"/>
      </w:pPr>
      <w:r>
        <w:t>电压或电流变化均需重新匹配熔断器，升压比升流难度大，尤其空间有限时，高电压设计需解决灭弧等问题，直流比交流更难。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Q71: 与台达在AIDC 800伏产品的对接情况如何？</w:t>
      </w:r>
    </w:p>
    <w:p>
      <w:r>
        <w:t xml:space="preserve">A71: </w:t>
      </w:r>
    </w:p>
    <w:p>
      <w:pPr>
        <w:pStyle w:val="any"/>
        <w:spacing w:before="240" w:after="240"/>
      </w:pPr>
      <w:r>
        <w:t>已对接，台达原有通讯产品合作，800伏产品同步研发，需配合其方案调整，已有定点，处于测试阶段。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Q72: 800伏数据中心熔断器的研发进度如何？</w:t>
      </w:r>
    </w:p>
    <w:p>
      <w:r>
        <w:t xml:space="preserve">A72: </w:t>
      </w:r>
    </w:p>
    <w:p>
      <w:pPr>
        <w:pStyle w:val="any"/>
        <w:spacing w:before="240" w:after="240"/>
      </w:pPr>
      <w:r>
        <w:t>已送样测试，部分客户已定点，客户方案需与终端用户验证并调整参数，公司同步配合，批量供应需过程。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Q73: 在800伏数据中心领域是否存在竞争，客户是否会指定使用公司产品？</w:t>
      </w:r>
    </w:p>
    <w:p>
      <w:r>
        <w:t xml:space="preserve">A73: </w:t>
      </w:r>
    </w:p>
    <w:p>
      <w:pPr>
        <w:pStyle w:val="any"/>
        <w:spacing w:before="240" w:after="240"/>
      </w:pPr>
      <w:r>
        <w:t>存在竞争，客户会选择行业头部品牌，公司凭借原有合作基础（如维谛、台达），大概率延续高份额，需通过竞争力获取订单。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Q74: 目前在数据中心客户产品中的份额如何？</w:t>
      </w:r>
    </w:p>
    <w:p>
      <w:r>
        <w:t xml:space="preserve">A74: </w:t>
      </w:r>
    </w:p>
    <w:p>
      <w:pPr>
        <w:pStyle w:val="any"/>
        <w:spacing w:before="240" w:after="240"/>
      </w:pPr>
      <w:r>
        <w:t>份额较高，近年因资源倾斜新能源车未刻意深挖，随着数据中心成为重点行业，份额有望进一步提升。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Q75: 是否将数据中心作为重点战略行业？</w:t>
      </w:r>
    </w:p>
    <w:p>
      <w:r>
        <w:t xml:space="preserve">A75: </w:t>
      </w:r>
    </w:p>
    <w:p>
      <w:pPr>
        <w:pStyle w:val="any"/>
        <w:spacing w:before="240" w:after="240"/>
      </w:pPr>
      <w:r>
        <w:t>是的，公司将新能源汽车、风光储、数据中心作为重点行业，因AI数据中心属国家重点发展领域，已重新布局资源。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Q76: 研发投入在新能源汽车、风光储、数据中心这三块是否均衡？</w:t>
      </w:r>
    </w:p>
    <w:p>
      <w:r>
        <w:t xml:space="preserve">A76: </w:t>
      </w:r>
    </w:p>
    <w:p>
      <w:pPr>
        <w:pStyle w:val="any"/>
        <w:spacing w:before="240" w:after="240"/>
      </w:pPr>
      <w:r>
        <w:t>研发投入根据客户需求灵活分配，无固定行业比例，客户提出新产品需求后，项目团队即开展设计。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Q77: 公司长远战略及产品布局有何新方向？</w:t>
      </w:r>
    </w:p>
    <w:p>
      <w:r>
        <w:t xml:space="preserve">A77: </w:t>
      </w:r>
    </w:p>
    <w:p>
      <w:pPr>
        <w:pStyle w:val="any"/>
        <w:spacing w:before="240" w:after="240"/>
      </w:pPr>
      <w:r>
        <w:t>行业层面重点发展数据中心及海外市场；产品层面横向拓展集成产品（含熔断器、继电器、传感器），并通过微电子事业部布局低压集成领域，复制其他行业应用。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Q78: 微电子事业部目前是否有产品客户？</w:t>
      </w:r>
    </w:p>
    <w:p>
      <w:r>
        <w:t xml:space="preserve">A78: </w:t>
      </w:r>
    </w:p>
    <w:p>
      <w:pPr>
        <w:pStyle w:val="any"/>
        <w:spacing w:before="240" w:after="240"/>
      </w:pPr>
      <w:r>
        <w:t>去年已有产品流片，但需修订优化，尚未量产，前期聚焦车低压领域，未来可复制至其他行业，属长期战略方向。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Q79: 未来国内与海外收入比例是否目标为四六开？</w:t>
      </w:r>
    </w:p>
    <w:p>
      <w:r>
        <w:t xml:space="preserve">A79: </w:t>
      </w:r>
    </w:p>
    <w:p>
      <w:pPr>
        <w:pStyle w:val="any"/>
        <w:spacing w:before="240" w:after="240"/>
      </w:pPr>
      <w:r>
        <w:t>中长期希望海外收入占比达40%以上，以实现国际化布局，不局限于国内市场。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Q80: 实现国内海外收入四六开是否有目标年份？</w:t>
      </w:r>
    </w:p>
    <w:p>
      <w:r>
        <w:t xml:space="preserve">A80: </w:t>
      </w:r>
    </w:p>
    <w:p>
      <w:pPr>
        <w:pStyle w:val="any"/>
        <w:spacing w:before="240" w:after="240"/>
      </w:pPr>
      <w:r>
        <w:t>无具体年份，计划3-5年内推进，重点通过海外新能源汽车和数据中心市场拓展实现，以市场份额和项目获取为核心目标。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Q81: 今年800伏渗透率10%多是指国内还是全球？</w:t>
      </w:r>
    </w:p>
    <w:p>
      <w:r>
        <w:t xml:space="preserve">A81: </w:t>
      </w:r>
    </w:p>
    <w:p>
      <w:pPr>
        <w:pStyle w:val="any"/>
        <w:spacing w:before="240" w:after="240"/>
      </w:pPr>
      <w:r>
        <w:t>指全球，海外市场今年处于起步阶段，国内外合计渗透率约10%-20%，通过激励熔断器销量（去年约260万只）估算，数据不精确。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Q82: 未来两年800伏渗透率提升速度如何？</w:t>
      </w:r>
    </w:p>
    <w:p>
      <w:r>
        <w:t xml:space="preserve">A82: </w:t>
      </w:r>
    </w:p>
    <w:p>
      <w:pPr>
        <w:pStyle w:val="any"/>
        <w:spacing w:before="240" w:after="240"/>
      </w:pPr>
      <w:r>
        <w:t>提升速度会很快，因新平台车型普遍采用800伏，消费者倾向选择充电更快的新平台车型，激励熔断器增速有望保持。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Q83: 今年收入是否可能接近30亿元？</w:t>
      </w:r>
    </w:p>
    <w:p>
      <w:r>
        <w:t xml:space="preserve">A83: </w:t>
      </w:r>
    </w:p>
    <w:p>
      <w:pPr>
        <w:pStyle w:val="any"/>
        <w:spacing w:before="240" w:after="240"/>
      </w:pPr>
      <w:r>
        <w:t>按30%增长目标，去年收入21.72亿元，今年目标约28.24亿元，接近30亿元；一季度收入6.32亿元，同比增长高但基数低，需客观看待季度数据。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Q84: 今年毛利率是否会受到影响？</w:t>
      </w:r>
    </w:p>
    <w:p>
      <w:r>
        <w:t xml:space="preserve">A84: </w:t>
      </w:r>
    </w:p>
    <w:p>
      <w:pPr>
        <w:pStyle w:val="any"/>
        <w:spacing w:before="240" w:after="240"/>
      </w:pPr>
      <w:r>
        <w:t>毛利率可能受铜银价格波动影响，激励熔断器毛利（约45%）有望维持或提升，需通过销售额增长及费用控制保障净利率，未设定具体净利率目标。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Q85: 800伏数据中心今年是否会有收入？</w:t>
      </w:r>
    </w:p>
    <w:p>
      <w:r>
        <w:t xml:space="preserve">A85: </w:t>
      </w:r>
    </w:p>
    <w:p>
      <w:pPr>
        <w:pStyle w:val="any"/>
        <w:spacing w:before="240" w:after="240"/>
      </w:pPr>
      <w:r>
        <w:t>会有收入，但规模不大，因行业尚未大规模启动，800伏产品处于前期阶段。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Q86: 800伏数据中心产品是否仍为电力熔断器？</w:t>
      </w:r>
    </w:p>
    <w:p>
      <w:r>
        <w:t xml:space="preserve">A86: </w:t>
      </w:r>
    </w:p>
    <w:p>
      <w:pPr>
        <w:pStyle w:val="any"/>
        <w:spacing w:before="240" w:after="240"/>
      </w:pPr>
      <w:r>
        <w:t>目前主要供应电力熔断器，未来希望推广激励熔断器，类似</w:t>
      </w:r>
      <w:r>
        <w:rPr>
          <w:rStyle w:val="anyCharacter"/>
        </w:rPr>
        <w:t>光伏</w:t>
      </w:r>
      <w:r>
        <w:rPr>
          <w:rStyle w:val="anyCharacter"/>
        </w:rPr>
        <w:t>储能</w:t>
      </w:r>
      <w:r>
        <w:t>行业从电力熔断器向激励熔断器过渡的路径。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Q87: 800伏数据中心主流产品的单个价值量是多少？</w:t>
      </w:r>
    </w:p>
    <w:p>
      <w:r>
        <w:t xml:space="preserve">A87: </w:t>
      </w:r>
    </w:p>
    <w:p>
      <w:pPr>
        <w:pStyle w:val="any"/>
        <w:spacing w:before="240" w:after="240"/>
      </w:pPr>
      <w:r>
        <w:t>无具体数据，客户订单为滚动式，按销售额下单，不按GW或具体数量，需批量供应后确定。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Q88: 数据中心方案中是否只有电力熔断器，公司是否仅供应电力熔断器？</w:t>
      </w:r>
    </w:p>
    <w:p>
      <w:r>
        <w:t xml:space="preserve">A88: </w:t>
      </w:r>
    </w:p>
    <w:p>
      <w:pPr>
        <w:pStyle w:val="any"/>
        <w:spacing w:before="240" w:after="240"/>
      </w:pPr>
      <w:r>
        <w:t>目前数据中心方案以电力熔断器为主，公司主要供应电力熔断器；激励熔断器推广需待行业基本盘稳定后，类似储能行业路径。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Q89: 在众多下游领域中，哪些空间较大但公司尚未深入，例如电表前侧熔断器？</w:t>
      </w:r>
    </w:p>
    <w:p>
      <w:r>
        <w:t xml:space="preserve">A89: </w:t>
      </w:r>
    </w:p>
    <w:p>
      <w:pPr>
        <w:pStyle w:val="any"/>
        <w:spacing w:before="240" w:after="240"/>
      </w:pPr>
      <w:r>
        <w:t>电网（如智能电网）是潜在大空间领域，目前因行业未到创新需求阶段，公司暂未深入；传统车低压侧因非趋势也未考虑。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Q90: 未进入电表前侧熔断器行业的原因是什么？</w:t>
      </w:r>
    </w:p>
    <w:p>
      <w:r>
        <w:t xml:space="preserve">A90: </w:t>
      </w:r>
    </w:p>
    <w:p>
      <w:pPr>
        <w:pStyle w:val="any"/>
        <w:spacing w:before="240" w:after="240"/>
      </w:pPr>
      <w:r>
        <w:t>该行业非创新型，公司资源优先投向快速发展的行业（如新能源汽车、数据中心），待电网等行业需创新产品支撑时再介入，熔断器设计周期短，可及时跟进。</w:t>
      </w:r>
    </w:p>
    <w:p>
      <w:pPr>
        <w:pStyle w:val="Heading2"/>
        <w:keepNext w:val="0"/>
        <w:spacing w:before="199" w:after="19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</w:rPr>
        <w:t>Q91: 公司业绩是否存在一季度较低、上半年较低的季节性特征，今年二季度是否会高于一季度？</w:t>
      </w:r>
    </w:p>
    <w:p>
      <w:r>
        <w:t xml:space="preserve">A91: </w:t>
      </w:r>
    </w:p>
    <w:p>
      <w:pPr>
        <w:pStyle w:val="any"/>
        <w:spacing w:before="240" w:after="240"/>
      </w:pPr>
      <w:r>
        <w:t>往年存在季节性，一季度较低，二季度环比提升有限（如2025年一季度3.9亿元，二季度4.48亿元）；今年大概率延续该模式，但无法确定具体数据。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336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paragraph" w:customStyle="1" w:styleId="any">
    <w:name w:val="any"/>
    <w:basedOn w:val="Normal"/>
    <w:pPr>
      <w:spacing w:line="336" w:lineRule="atLeast"/>
    </w:pPr>
  </w:style>
  <w:style w:type="character" w:customStyle="1" w:styleId="anyCharacter">
    <w:name w:val="any Charact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